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B4C5B" w:rsidRDefault="00FB4C5B" w:rsidP="00FB4C5B">
      <w:pPr>
        <w:spacing w:line="480" w:lineRule="auto"/>
        <w:jc w:val="center"/>
      </w:pPr>
    </w:p>
    <w:p w:rsidR="00010649" w:rsidRDefault="00010649" w:rsidP="00FB4C5B">
      <w:pPr>
        <w:spacing w:line="480" w:lineRule="auto"/>
        <w:jc w:val="center"/>
      </w:pPr>
    </w:p>
    <w:p w:rsidR="00010649" w:rsidRDefault="00010649" w:rsidP="00FB4C5B">
      <w:pPr>
        <w:spacing w:line="480" w:lineRule="auto"/>
        <w:jc w:val="center"/>
      </w:pPr>
    </w:p>
    <w:p w:rsidR="00010649" w:rsidRDefault="00010649" w:rsidP="00FB4C5B">
      <w:pPr>
        <w:spacing w:line="480" w:lineRule="auto"/>
        <w:jc w:val="center"/>
      </w:pPr>
    </w:p>
    <w:p w:rsidR="00FB4C5B" w:rsidRDefault="00FB4C5B" w:rsidP="00FB4C5B">
      <w:pPr>
        <w:spacing w:line="480" w:lineRule="auto"/>
        <w:jc w:val="center"/>
      </w:pPr>
    </w:p>
    <w:p w:rsidR="00FB4C5B" w:rsidRDefault="00FB4C5B" w:rsidP="00FB4C5B">
      <w:pPr>
        <w:spacing w:line="480" w:lineRule="auto"/>
        <w:jc w:val="center"/>
      </w:pPr>
    </w:p>
    <w:p w:rsidR="00FB4C5B" w:rsidRDefault="00FB4C5B" w:rsidP="00FB4C5B">
      <w:pPr>
        <w:spacing w:line="480" w:lineRule="auto"/>
        <w:jc w:val="center"/>
      </w:pPr>
    </w:p>
    <w:p w:rsidR="00FB4C5B" w:rsidRDefault="00FB4C5B" w:rsidP="00FB4C5B">
      <w:pPr>
        <w:spacing w:line="480" w:lineRule="auto"/>
        <w:jc w:val="center"/>
      </w:pPr>
    </w:p>
    <w:p w:rsidR="002E4EBD" w:rsidRDefault="002E4EBD" w:rsidP="00FB4C5B">
      <w:pPr>
        <w:spacing w:line="480" w:lineRule="auto"/>
        <w:jc w:val="center"/>
      </w:pPr>
      <w:r>
        <w:t>Proposed Class 1: Audiovisual Works-Criticism and Comment.</w:t>
      </w:r>
    </w:p>
    <w:p w:rsidR="002E4EBD" w:rsidRDefault="002E4EBD" w:rsidP="00FB4C5B">
      <w:pPr>
        <w:spacing w:line="480" w:lineRule="auto"/>
        <w:jc w:val="center"/>
      </w:pPr>
      <w:r>
        <w:t>Name.</w:t>
      </w:r>
    </w:p>
    <w:p w:rsidR="002E4EBD" w:rsidRDefault="002E4EBD" w:rsidP="00FB4C5B">
      <w:pPr>
        <w:spacing w:line="480" w:lineRule="auto"/>
        <w:jc w:val="center"/>
      </w:pPr>
      <w:r>
        <w:t>Institution.</w:t>
      </w:r>
    </w:p>
    <w:p w:rsidR="002E4EBD" w:rsidRDefault="002E4EBD" w:rsidP="00FB4C5B">
      <w:pPr>
        <w:spacing w:line="480" w:lineRule="auto"/>
        <w:jc w:val="center"/>
      </w:pPr>
      <w:r>
        <w:t xml:space="preserve">Date. </w:t>
      </w:r>
    </w:p>
    <w:p w:rsidR="00FB4C5B" w:rsidRDefault="00FB4C5B" w:rsidP="00482D7F">
      <w:pPr>
        <w:spacing w:line="480" w:lineRule="auto"/>
      </w:pPr>
    </w:p>
    <w:p w:rsidR="00FB4C5B" w:rsidRDefault="00FB4C5B" w:rsidP="00482D7F">
      <w:pPr>
        <w:spacing w:line="480" w:lineRule="auto"/>
      </w:pPr>
    </w:p>
    <w:p w:rsidR="00FB4C5B" w:rsidRDefault="00FB4C5B" w:rsidP="00482D7F">
      <w:pPr>
        <w:spacing w:line="480" w:lineRule="auto"/>
      </w:pPr>
    </w:p>
    <w:p w:rsidR="00FB4C5B" w:rsidRDefault="00FB4C5B" w:rsidP="00482D7F">
      <w:pPr>
        <w:spacing w:line="480" w:lineRule="auto"/>
      </w:pPr>
    </w:p>
    <w:p w:rsidR="00FB4C5B" w:rsidRDefault="00FB4C5B" w:rsidP="00482D7F">
      <w:pPr>
        <w:spacing w:line="480" w:lineRule="auto"/>
      </w:pPr>
    </w:p>
    <w:p w:rsidR="002E4EBD" w:rsidRDefault="002E4EBD" w:rsidP="00FB4C5B">
      <w:pPr>
        <w:spacing w:line="480" w:lineRule="auto"/>
        <w:jc w:val="center"/>
      </w:pPr>
      <w:r>
        <w:lastRenderedPageBreak/>
        <w:t>Proposed Class 1: Audiovisual Works-Criticism and Comment</w:t>
      </w:r>
    </w:p>
    <w:p w:rsidR="00E81C6F" w:rsidRDefault="00E81C6F" w:rsidP="00E81C6F">
      <w:pPr>
        <w:spacing w:line="480" w:lineRule="auto"/>
        <w:ind w:firstLine="720"/>
      </w:pPr>
      <w:r>
        <w:t>This paper focuses on proposed class 1: Audiovisual Works-Criticism and Comment. There were five petitions seeking expansion of the present exemption to allow circumvention of protected technological measures (TPM) on quotations of motion pictures on digitally transmitted videos, Blu-Ray discs, and DVDs (Hayden, 2018). The existing exemption permitted circumvention for criticism and comment purposes by the following users: multimedia e-book writers, faculty of Massively Open Online Courses (MOOCs), university and college faculty students, filmmakers and kindergarten through 12th-grade educators (Hayden, 2018). The proposed exemption was to remove the restrictions on the type of use or users and instead allow circumvention to anyone whose purpose was to criticize or comment. Notably, the petitions were seeking the circumvention of TPMs for non-profit purposes. BYU, one of the petitioners, had a suggestion of creating a single exemption that would allow circumvention of TPMs for non-profit purposes based on section 110(1) and 110(2).In addition, BYU suggested the elimination of limitations based on the type of user or use as long as the purpose of circumvention lays solely on criticism and comment (Hayden, 2018).</w:t>
      </w:r>
    </w:p>
    <w:p w:rsidR="00E81C6F" w:rsidRDefault="00E81C6F" w:rsidP="00E81C6F">
      <w:pPr>
        <w:spacing w:line="480" w:lineRule="auto"/>
        <w:ind w:firstLine="720"/>
      </w:pPr>
      <w:r>
        <w:t>Petitioners seeking expansion of the existing exemption demonstrated the reason why the current measures limited their use which was non-infringement to the copyright. Therefore, the acting register recommended the existing exception to be expanded to accommodate or to reflect some of the proposals which were in accordance with the copyright infringement policies (Hayden, 2018). To make the final exemption, the acting register adopted the proposals by agreeing to condense the regulatory language where applicable. However, the acting register did not approve BYU's proposal on the development of a single circumvention of TPMs. The acting register has to scrutinize the proposals to protect copyright works from infringement.</w:t>
      </w:r>
    </w:p>
    <w:p w:rsidR="0011468D" w:rsidRDefault="00E81C6F" w:rsidP="00E81C6F">
      <w:pPr>
        <w:spacing w:line="480" w:lineRule="auto"/>
        <w:ind w:firstLine="720"/>
      </w:pPr>
      <w:r>
        <w:lastRenderedPageBreak/>
        <w:t>The need and value of the triennial process cannot be overlooked. The triennial process is an integral policy study relating to potential exemptions on the Digital Millennium Copyright Act ban against TPMs that limit access to copyrighted materials (Irvin, 2015). The process includes the members of the public in the renewal of the existing exemptions. The U.S Copyright office allows the public to submit their petitions. The petition may criticize the existing exception or may be a proposal to expand on the existing one. The petitions submitted are considered pursuant to a more inclusive rulemaking process (Irvin, 2015). For instance, the seventh triennial process, the members of the public petitions submitted in the 7th triennial proceeding, were used in the comprehensive rulemaking of the renewed exemptions. Therefore, the triennial process is of immense need and value in relation to inclusivity of the members of the public in the rulemaking process involving circumvention of TPMs.</w:t>
      </w:r>
    </w:p>
    <w:p w:rsidR="00FB4C5B" w:rsidRDefault="00FB4C5B" w:rsidP="00010649">
      <w:pPr>
        <w:spacing w:line="480" w:lineRule="auto"/>
        <w:ind w:firstLine="720"/>
        <w:jc w:val="center"/>
      </w:pPr>
    </w:p>
    <w:p w:rsidR="00FB4C5B" w:rsidRDefault="00FB4C5B" w:rsidP="00010649">
      <w:pPr>
        <w:spacing w:line="480" w:lineRule="auto"/>
        <w:ind w:firstLine="720"/>
        <w:jc w:val="center"/>
      </w:pPr>
    </w:p>
    <w:p w:rsidR="00FB4C5B" w:rsidRDefault="00FB4C5B" w:rsidP="00010649">
      <w:pPr>
        <w:spacing w:line="480" w:lineRule="auto"/>
        <w:ind w:firstLine="720"/>
        <w:jc w:val="center"/>
      </w:pPr>
    </w:p>
    <w:p w:rsidR="00FB4C5B" w:rsidRDefault="00FB4C5B" w:rsidP="00010649">
      <w:pPr>
        <w:spacing w:line="480" w:lineRule="auto"/>
        <w:ind w:firstLine="720"/>
        <w:jc w:val="center"/>
      </w:pPr>
    </w:p>
    <w:p w:rsidR="00010649" w:rsidRDefault="00010649" w:rsidP="00010649">
      <w:pPr>
        <w:spacing w:line="480" w:lineRule="auto"/>
        <w:ind w:firstLine="720"/>
        <w:jc w:val="center"/>
      </w:pPr>
    </w:p>
    <w:p w:rsidR="00010649" w:rsidRDefault="00010649" w:rsidP="00010649">
      <w:pPr>
        <w:spacing w:line="480" w:lineRule="auto"/>
        <w:ind w:firstLine="720"/>
        <w:jc w:val="center"/>
      </w:pPr>
    </w:p>
    <w:p w:rsidR="00FB4C5B" w:rsidRDefault="00FB4C5B" w:rsidP="00010649">
      <w:pPr>
        <w:spacing w:line="480" w:lineRule="auto"/>
        <w:ind w:firstLine="720"/>
        <w:jc w:val="center"/>
      </w:pPr>
    </w:p>
    <w:p w:rsidR="00FB4C5B" w:rsidRDefault="00FB4C5B" w:rsidP="00010649">
      <w:pPr>
        <w:spacing w:line="480" w:lineRule="auto"/>
        <w:ind w:firstLine="720"/>
        <w:jc w:val="center"/>
      </w:pPr>
    </w:p>
    <w:p w:rsidR="00FB4C5B" w:rsidRDefault="00FB4C5B" w:rsidP="00010649">
      <w:pPr>
        <w:spacing w:line="480" w:lineRule="auto"/>
        <w:ind w:firstLine="720"/>
        <w:jc w:val="center"/>
      </w:pPr>
    </w:p>
    <w:p w:rsidR="00482D7F" w:rsidRDefault="00482D7F" w:rsidP="00482D7F">
      <w:pPr>
        <w:spacing w:line="480" w:lineRule="auto"/>
        <w:jc w:val="center"/>
      </w:pPr>
      <w:r>
        <w:lastRenderedPageBreak/>
        <w:t>References</w:t>
      </w:r>
    </w:p>
    <w:p w:rsidR="00482D7F" w:rsidRDefault="00F02622" w:rsidP="00482D7F">
      <w:pPr>
        <w:pStyle w:val="Bibliography"/>
        <w:spacing w:line="480" w:lineRule="auto"/>
        <w:ind w:left="720" w:hanging="720"/>
        <w:rPr>
          <w:noProof/>
        </w:rPr>
      </w:pPr>
      <w:r>
        <w:fldChar w:fldCharType="begin"/>
      </w:r>
      <w:r w:rsidR="00482D7F">
        <w:instrText xml:space="preserve"> BIBLIOGRAPHY  \l 1033 </w:instrText>
      </w:r>
      <w:r>
        <w:fldChar w:fldCharType="separate"/>
      </w:r>
      <w:r w:rsidR="00482D7F">
        <w:rPr>
          <w:noProof/>
        </w:rPr>
        <w:t xml:space="preserve">E., I. (2015). Triennial process in the rulemaking. </w:t>
      </w:r>
      <w:r w:rsidR="00482D7F">
        <w:rPr>
          <w:i/>
          <w:iCs/>
          <w:noProof/>
        </w:rPr>
        <w:t>Taylor &amp; Francis</w:t>
      </w:r>
      <w:r w:rsidR="00482D7F">
        <w:rPr>
          <w:noProof/>
        </w:rPr>
        <w:t>, 7-9.</w:t>
      </w:r>
    </w:p>
    <w:p w:rsidR="00482D7F" w:rsidRDefault="00482D7F" w:rsidP="00482D7F">
      <w:pPr>
        <w:pStyle w:val="Bibliography"/>
        <w:spacing w:line="480" w:lineRule="auto"/>
        <w:ind w:left="720" w:hanging="720"/>
        <w:rPr>
          <w:noProof/>
        </w:rPr>
      </w:pPr>
      <w:r>
        <w:rPr>
          <w:noProof/>
        </w:rPr>
        <w:t xml:space="preserve">Hayden, C. (2018). Section 1201 Rulemaking: Seventh Triennial Proceeding to determine Exemptions to the Prohibition on Circumvention. </w:t>
      </w:r>
      <w:r>
        <w:rPr>
          <w:i/>
          <w:iCs/>
          <w:noProof/>
        </w:rPr>
        <w:t>Reccomendation of the Acting Register of Copyrights</w:t>
      </w:r>
      <w:r>
        <w:rPr>
          <w:noProof/>
        </w:rPr>
        <w:t>, 30-80.</w:t>
      </w:r>
    </w:p>
    <w:p w:rsidR="00482D7F" w:rsidRDefault="00F02622" w:rsidP="00482D7F">
      <w:pPr>
        <w:spacing w:line="480" w:lineRule="auto"/>
        <w:ind w:hanging="720"/>
      </w:pPr>
      <w:r>
        <w:fldChar w:fldCharType="end"/>
      </w:r>
    </w:p>
    <w:sectPr w:rsidR="00482D7F" w:rsidSect="002E4EB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41E48" w:rsidRDefault="00141E48" w:rsidP="002E4EBD">
      <w:pPr>
        <w:spacing w:after="0" w:line="240" w:lineRule="auto"/>
      </w:pPr>
      <w:r>
        <w:separator/>
      </w:r>
    </w:p>
  </w:endnote>
  <w:endnote w:type="continuationSeparator" w:id="1">
    <w:p w:rsidR="00141E48" w:rsidRDefault="00141E48" w:rsidP="002E4EB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41E48" w:rsidRDefault="00141E48" w:rsidP="002E4EBD">
      <w:pPr>
        <w:spacing w:after="0" w:line="240" w:lineRule="auto"/>
      </w:pPr>
      <w:r>
        <w:separator/>
      </w:r>
    </w:p>
  </w:footnote>
  <w:footnote w:type="continuationSeparator" w:id="1">
    <w:p w:rsidR="00141E48" w:rsidRDefault="00141E48" w:rsidP="002E4EB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4EBD" w:rsidRDefault="002E4EBD">
    <w:pPr>
      <w:pStyle w:val="Header"/>
      <w:jc w:val="right"/>
    </w:pPr>
    <w:r>
      <w:t xml:space="preserve">PROPOSED CLASS 1                                                                                                                     </w:t>
    </w:r>
    <w:sdt>
      <w:sdtPr>
        <w:id w:val="81402792"/>
        <w:docPartObj>
          <w:docPartGallery w:val="Page Numbers (Top of Page)"/>
          <w:docPartUnique/>
        </w:docPartObj>
      </w:sdtPr>
      <w:sdtContent>
        <w:fldSimple w:instr=" PAGE   \* MERGEFORMAT ">
          <w:r w:rsidR="00E81C6F">
            <w:rPr>
              <w:noProof/>
            </w:rPr>
            <w:t>4</w:t>
          </w:r>
        </w:fldSimple>
      </w:sdtContent>
    </w:sdt>
  </w:p>
  <w:p w:rsidR="002E4EBD" w:rsidRDefault="002E4EBD">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4EBD" w:rsidRDefault="002E4EBD">
    <w:pPr>
      <w:pStyle w:val="Header"/>
      <w:jc w:val="right"/>
    </w:pPr>
    <w:r>
      <w:t xml:space="preserve">Running head: PROPOSED CLASS 1                                                                                            </w:t>
    </w:r>
    <w:sdt>
      <w:sdtPr>
        <w:id w:val="81402523"/>
        <w:docPartObj>
          <w:docPartGallery w:val="Page Numbers (Top of Page)"/>
          <w:docPartUnique/>
        </w:docPartObj>
      </w:sdtPr>
      <w:sdtContent>
        <w:fldSimple w:instr=" PAGE   \* MERGEFORMAT ">
          <w:r w:rsidR="00E81C6F">
            <w:rPr>
              <w:noProof/>
            </w:rPr>
            <w:t>1</w:t>
          </w:r>
        </w:fldSimple>
      </w:sdtContent>
    </w:sdt>
  </w:p>
  <w:p w:rsidR="002E4EBD" w:rsidRDefault="002E4EBD">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660E3F"/>
    <w:rsid w:val="00010649"/>
    <w:rsid w:val="001035A8"/>
    <w:rsid w:val="0011468D"/>
    <w:rsid w:val="00141E48"/>
    <w:rsid w:val="00266243"/>
    <w:rsid w:val="002E4EBD"/>
    <w:rsid w:val="002E77EC"/>
    <w:rsid w:val="003256FD"/>
    <w:rsid w:val="00386C30"/>
    <w:rsid w:val="003A6735"/>
    <w:rsid w:val="00435B15"/>
    <w:rsid w:val="00482D7F"/>
    <w:rsid w:val="00527DCA"/>
    <w:rsid w:val="00660E3F"/>
    <w:rsid w:val="00994E35"/>
    <w:rsid w:val="00BB4D9D"/>
    <w:rsid w:val="00D72FFB"/>
    <w:rsid w:val="00D81068"/>
    <w:rsid w:val="00E81C6F"/>
    <w:rsid w:val="00F02622"/>
    <w:rsid w:val="00FB3FCA"/>
    <w:rsid w:val="00FB4C5B"/>
    <w:rsid w:val="00FD303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after="200"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624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482D7F"/>
  </w:style>
  <w:style w:type="paragraph" w:styleId="BalloonText">
    <w:name w:val="Balloon Text"/>
    <w:basedOn w:val="Normal"/>
    <w:link w:val="BalloonTextChar"/>
    <w:uiPriority w:val="99"/>
    <w:semiHidden/>
    <w:unhideWhenUsed/>
    <w:rsid w:val="002E4E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E4EBD"/>
    <w:rPr>
      <w:rFonts w:ascii="Tahoma" w:hAnsi="Tahoma" w:cs="Tahoma"/>
      <w:sz w:val="16"/>
      <w:szCs w:val="16"/>
    </w:rPr>
  </w:style>
  <w:style w:type="paragraph" w:styleId="Header">
    <w:name w:val="header"/>
    <w:basedOn w:val="Normal"/>
    <w:link w:val="HeaderChar"/>
    <w:uiPriority w:val="99"/>
    <w:unhideWhenUsed/>
    <w:rsid w:val="002E4EBD"/>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4EBD"/>
  </w:style>
  <w:style w:type="paragraph" w:styleId="Footer">
    <w:name w:val="footer"/>
    <w:basedOn w:val="Normal"/>
    <w:link w:val="FooterChar"/>
    <w:uiPriority w:val="99"/>
    <w:semiHidden/>
    <w:unhideWhenUsed/>
    <w:rsid w:val="002E4EB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E4EB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Hay18</b:Tag>
    <b:SourceType>JournalArticle</b:SourceType>
    <b:Guid>{167CFBF1-E762-4F5F-81A7-0C37B7DD92DD}</b:Guid>
    <b:LCID>0</b:LCID>
    <b:Author>
      <b:Author>
        <b:NameList>
          <b:Person>
            <b:Last>Hayden</b:Last>
            <b:First>C</b:First>
          </b:Person>
        </b:NameList>
      </b:Author>
    </b:Author>
    <b:Title>Section 1201 Rulemaking: Seventh Triennial Proceeding to determine Exemptions to the Prohibition on Circumvention</b:Title>
    <b:JournalName>Reccomendation of the Acting Register of Copyrights</b:JournalName>
    <b:Year>2018</b:Year>
    <b:Pages>30-80</b:Pages>
    <b:RefOrder>1</b:RefOrder>
  </b:Source>
  <b:Source>
    <b:Tag>Irv15</b:Tag>
    <b:SourceType>JournalArticle</b:SourceType>
    <b:Guid>{83006B46-ED42-4BC9-A2E4-A20F38219649}</b:Guid>
    <b:LCID>0</b:LCID>
    <b:Author>
      <b:Author>
        <b:NameList>
          <b:Person>
            <b:Last>Irvin</b:Last>
            <b:First>E.</b:First>
          </b:Person>
        </b:NameList>
      </b:Author>
    </b:Author>
    <b:Title>Triennial process in the rulemaking</b:Title>
    <b:JournalName>Taylor &amp; Francis</b:JournalName>
    <b:Year>2015</b:Year>
    <b:Pages>7-9</b:Pages>
    <b:RefOrder>2</b:RefOrder>
  </b:Source>
</b:Sources>
</file>

<file path=customXml/itemProps1.xml><?xml version="1.0" encoding="utf-8"?>
<ds:datastoreItem xmlns:ds="http://schemas.openxmlformats.org/officeDocument/2006/customXml" ds:itemID="{C1060244-A1E4-47D4-8394-6149A5CD53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4</Pages>
  <Words>512</Words>
  <Characters>2920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CHATIMO</dc:creator>
  <cp:lastModifiedBy>ADM</cp:lastModifiedBy>
  <cp:revision>2</cp:revision>
  <dcterms:created xsi:type="dcterms:W3CDTF">2019-02-20T11:05:00Z</dcterms:created>
  <dcterms:modified xsi:type="dcterms:W3CDTF">2019-02-20T11:05:00Z</dcterms:modified>
</cp:coreProperties>
</file>